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8"/>
          <w:szCs w:val="32"/>
        </w:rPr>
        <w:t>Indigenous Foods in the City: Community Dialogue and Action Plan Development</w:t>
      </w:r>
    </w:p>
    <w:p w:rsidR="00D84EBA" w:rsidRPr="00D84EBA" w:rsidRDefault="00D84EBA" w:rsidP="00D84EBA">
      <w:pPr>
        <w:rPr>
          <w:rFonts w:ascii="Arial" w:eastAsia="Times New Roman" w:hAnsi="Arial" w:cs="Arial"/>
          <w:color w:val="222222"/>
          <w:sz w:val="22"/>
        </w:rPr>
      </w:pPr>
      <w:r w:rsidRPr="00D84EBA">
        <w:rPr>
          <w:rFonts w:ascii="Times New Roman" w:eastAsia="Times New Roman" w:hAnsi="Times New Roman" w:cs="Times New Roman"/>
          <w:color w:val="000000"/>
          <w:sz w:val="21"/>
          <w:szCs w:val="22"/>
        </w:rPr>
        <w:t>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000000"/>
          <w:sz w:val="22"/>
        </w:rPr>
        <w:t>This series of workshops was initiated to support the work of the many urban Indigenous organizations and individuals contributing to Indigenous food systems and food practices in urban contexts. Many communities have identified legal and other barriers to traditional food harvesting and sharing activities. The workshops are intended to support dialogue with a belief that through networking and problem-solving support, local organizations and individuals can come together to ensure that policy does not hinder the health-promoting potential of traditional/country foods.</w:t>
      </w:r>
    </w:p>
    <w:p w:rsidR="00D84EBA" w:rsidRPr="00D84EBA" w:rsidRDefault="00D84EBA" w:rsidP="00D84EBA">
      <w:pPr>
        <w:rPr>
          <w:rFonts w:ascii="Arial" w:eastAsia="Times New Roman" w:hAnsi="Arial" w:cs="Arial"/>
          <w:color w:val="222222"/>
          <w:sz w:val="22"/>
        </w:rPr>
      </w:pPr>
      <w:r w:rsidRPr="00D84EBA">
        <w:rPr>
          <w:rFonts w:ascii="Times New Roman" w:eastAsia="Times New Roman" w:hAnsi="Times New Roman" w:cs="Times New Roman"/>
          <w:color w:val="000000"/>
          <w:sz w:val="21"/>
          <w:szCs w:val="22"/>
        </w:rPr>
        <w:t> </w:t>
      </w:r>
    </w:p>
    <w:p w:rsidR="00D84EBA" w:rsidRPr="00D84EBA" w:rsidRDefault="00D84EBA" w:rsidP="00D84EBA">
      <w:pPr>
        <w:rPr>
          <w:rFonts w:ascii="Arial" w:eastAsia="Times New Roman" w:hAnsi="Arial" w:cs="Arial"/>
          <w:b/>
          <w:bCs/>
          <w:i/>
          <w:color w:val="000000"/>
          <w:szCs w:val="28"/>
          <w:shd w:val="clear" w:color="auto" w:fill="FFFF00"/>
        </w:rPr>
      </w:pPr>
      <w:r w:rsidRPr="00D84EBA">
        <w:rPr>
          <w:rFonts w:ascii="Arial" w:eastAsia="Times New Roman" w:hAnsi="Arial" w:cs="Arial"/>
          <w:color w:val="000000"/>
          <w:szCs w:val="28"/>
          <w:shd w:val="clear" w:color="auto" w:fill="FFFF00"/>
        </w:rPr>
        <w:t>January 25th – </w:t>
      </w:r>
      <w:r w:rsidRPr="00D84EBA">
        <w:rPr>
          <w:rFonts w:ascii="Arial" w:eastAsia="Times New Roman" w:hAnsi="Arial" w:cs="Arial"/>
          <w:b/>
          <w:bCs/>
          <w:color w:val="000000"/>
          <w:szCs w:val="28"/>
          <w:shd w:val="clear" w:color="auto" w:fill="FFFF00"/>
        </w:rPr>
        <w:t>Thun</w:t>
      </w:r>
      <w:r>
        <w:rPr>
          <w:rFonts w:ascii="Arial" w:eastAsia="Times New Roman" w:hAnsi="Arial" w:cs="Arial"/>
          <w:b/>
          <w:bCs/>
          <w:color w:val="000000"/>
          <w:szCs w:val="28"/>
          <w:shd w:val="clear" w:color="auto" w:fill="FFFF00"/>
        </w:rPr>
        <w:t xml:space="preserve">der Bay Indigenous Friendship Centre </w:t>
      </w:r>
      <w:r w:rsidRPr="00D84EBA">
        <w:rPr>
          <w:rFonts w:ascii="Arial" w:eastAsia="Times New Roman" w:hAnsi="Arial" w:cs="Arial"/>
          <w:i/>
          <w:color w:val="222222"/>
          <w:shd w:val="clear" w:color="auto" w:fill="FFFFFF"/>
        </w:rPr>
        <w:t xml:space="preserve">401 Cumberland St N.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222222"/>
          <w:sz w:val="22"/>
        </w:rPr>
        <w:t>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000000"/>
          <w:sz w:val="22"/>
        </w:rPr>
        <w:t>Light snacks and refreshments provided. The workshops will feature a short documentary film on traditional foods making their way into Saskatoon that was directed by</w:t>
      </w:r>
      <w:r>
        <w:rPr>
          <w:rFonts w:ascii="Arial" w:eastAsia="Times New Roman" w:hAnsi="Arial" w:cs="Arial"/>
          <w:color w:val="000000"/>
          <w:sz w:val="22"/>
        </w:rPr>
        <w:t xml:space="preserve"> </w:t>
      </w:r>
      <w:r w:rsidRPr="00D84EBA">
        <w:rPr>
          <w:rFonts w:ascii="Arial" w:eastAsia="Times New Roman" w:hAnsi="Arial" w:cs="Arial"/>
          <w:b/>
          <w:bCs/>
          <w:color w:val="000000"/>
          <w:sz w:val="22"/>
        </w:rPr>
        <w:t xml:space="preserve">Tasha Hubbard and </w:t>
      </w:r>
      <w:proofErr w:type="spellStart"/>
      <w:r w:rsidRPr="00D84EBA">
        <w:rPr>
          <w:rFonts w:ascii="Arial" w:eastAsia="Times New Roman" w:hAnsi="Arial" w:cs="Arial"/>
          <w:b/>
          <w:bCs/>
          <w:color w:val="000000"/>
          <w:sz w:val="22"/>
        </w:rPr>
        <w:t>Lise-Kossick-Kouri</w:t>
      </w:r>
      <w:proofErr w:type="spellEnd"/>
      <w:r w:rsidRPr="00D84EBA">
        <w:rPr>
          <w:rFonts w:ascii="Arial" w:eastAsia="Times New Roman" w:hAnsi="Arial" w:cs="Arial"/>
          <w:color w:val="000000"/>
          <w:sz w:val="22"/>
        </w:rPr>
        <w:t>, a reading from a short play on land, food and language by </w:t>
      </w:r>
      <w:r w:rsidRPr="00D84EBA">
        <w:rPr>
          <w:rFonts w:ascii="Arial" w:eastAsia="Times New Roman" w:hAnsi="Arial" w:cs="Arial"/>
          <w:b/>
          <w:bCs/>
          <w:color w:val="000000"/>
          <w:sz w:val="22"/>
        </w:rPr>
        <w:t xml:space="preserve">Curtis </w:t>
      </w:r>
      <w:proofErr w:type="spellStart"/>
      <w:r w:rsidRPr="00D84EBA">
        <w:rPr>
          <w:rFonts w:ascii="Arial" w:eastAsia="Times New Roman" w:hAnsi="Arial" w:cs="Arial"/>
          <w:b/>
          <w:bCs/>
          <w:color w:val="000000"/>
          <w:sz w:val="22"/>
        </w:rPr>
        <w:t>Peeteetuce</w:t>
      </w:r>
      <w:proofErr w:type="spellEnd"/>
      <w:r w:rsidRPr="00D84EBA">
        <w:rPr>
          <w:rFonts w:ascii="Arial" w:eastAsia="Times New Roman" w:hAnsi="Arial" w:cs="Arial"/>
          <w:color w:val="000000"/>
          <w:sz w:val="22"/>
        </w:rPr>
        <w:t>, and remarks by </w:t>
      </w:r>
      <w:r w:rsidRPr="00D84EBA">
        <w:rPr>
          <w:rFonts w:ascii="Arial" w:eastAsia="Times New Roman" w:hAnsi="Arial" w:cs="Arial"/>
          <w:b/>
          <w:bCs/>
          <w:color w:val="000000"/>
          <w:sz w:val="22"/>
        </w:rPr>
        <w:t>Glenda Abbott</w:t>
      </w:r>
      <w:r w:rsidRPr="00D84EBA">
        <w:rPr>
          <w:rFonts w:ascii="Arial" w:eastAsia="Times New Roman" w:hAnsi="Arial" w:cs="Arial"/>
          <w:color w:val="000000"/>
          <w:sz w:val="22"/>
        </w:rPr>
        <w:t>, a long-time Indigenous food sovereignty advocate. This will be followed by a community dialogue. Sessions will be recorded for notetaking purposes.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2"/>
        </w:rPr>
        <w:t>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2"/>
        </w:rPr>
        <w:t>Goals and Relevance:</w:t>
      </w:r>
    </w:p>
    <w:p w:rsidR="00D84EBA" w:rsidRPr="00D84EBA" w:rsidRDefault="00D84EBA" w:rsidP="00D84EBA">
      <w:pPr>
        <w:numPr>
          <w:ilvl w:val="0"/>
          <w:numId w:val="1"/>
        </w:numPr>
        <w:ind w:left="945"/>
        <w:rPr>
          <w:rFonts w:ascii="Arial" w:eastAsia="Times New Roman" w:hAnsi="Arial" w:cs="Arial"/>
          <w:color w:val="000000"/>
          <w:sz w:val="22"/>
        </w:rPr>
      </w:pPr>
      <w:r w:rsidRPr="00D84EBA">
        <w:rPr>
          <w:rFonts w:ascii="Arial" w:eastAsia="Times New Roman" w:hAnsi="Arial" w:cs="Arial"/>
          <w:color w:val="000000"/>
          <w:sz w:val="21"/>
          <w:szCs w:val="22"/>
        </w:rPr>
        <w:t>To support discussions on and understanding of accessing traditional food in urban environments for Indigenous people.</w:t>
      </w:r>
    </w:p>
    <w:p w:rsidR="00D84EBA" w:rsidRPr="00D84EBA" w:rsidRDefault="00D84EBA" w:rsidP="00D84EBA">
      <w:pPr>
        <w:numPr>
          <w:ilvl w:val="0"/>
          <w:numId w:val="1"/>
        </w:numPr>
        <w:ind w:left="945"/>
        <w:rPr>
          <w:rFonts w:ascii="Arial" w:eastAsia="Times New Roman" w:hAnsi="Arial" w:cs="Arial"/>
          <w:color w:val="000000"/>
          <w:sz w:val="22"/>
        </w:rPr>
      </w:pPr>
      <w:r w:rsidRPr="00D84EBA">
        <w:rPr>
          <w:rFonts w:ascii="Arial" w:eastAsia="Times New Roman" w:hAnsi="Arial" w:cs="Arial"/>
          <w:color w:val="000000"/>
          <w:sz w:val="21"/>
          <w:szCs w:val="22"/>
        </w:rPr>
        <w:t>To support planning for actions to adapt regulations and remove other barriers in order to improve access to traditional food in urban environments for Indigenous people.</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2"/>
        </w:rPr>
        <w:t>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2"/>
        </w:rPr>
        <w:t>Outcome</w:t>
      </w:r>
      <w:r w:rsidRPr="00D84EBA">
        <w:rPr>
          <w:rFonts w:ascii="Arial" w:eastAsia="Times New Roman" w:hAnsi="Arial" w:cs="Arial"/>
          <w:color w:val="000000"/>
          <w:sz w:val="22"/>
        </w:rPr>
        <w:t>:</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000000"/>
          <w:sz w:val="22"/>
          <w:lang w:val="en-US"/>
        </w:rPr>
        <w:t>Create a report and action plan for non-government and government organizations based on discussions at the workshops, and informed by consultation with legal, conservation and Indigenous rights experts.</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222222"/>
          <w:sz w:val="22"/>
        </w:rPr>
        <w:t> </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b/>
          <w:bCs/>
          <w:color w:val="000000"/>
          <w:sz w:val="22"/>
          <w:lang w:val="en-US"/>
        </w:rPr>
        <w:t>Who should attend?</w:t>
      </w:r>
    </w:p>
    <w:p w:rsidR="00D84EBA" w:rsidRPr="00D84EBA" w:rsidRDefault="00D84EBA" w:rsidP="00D84EBA">
      <w:pPr>
        <w:rPr>
          <w:rFonts w:ascii="Arial" w:eastAsia="Times New Roman" w:hAnsi="Arial" w:cs="Arial"/>
          <w:color w:val="222222"/>
          <w:sz w:val="22"/>
        </w:rPr>
      </w:pPr>
      <w:r w:rsidRPr="00D84EBA">
        <w:rPr>
          <w:rFonts w:ascii="Arial" w:eastAsia="Times New Roman" w:hAnsi="Arial" w:cs="Arial"/>
          <w:color w:val="000000"/>
          <w:sz w:val="22"/>
          <w:lang w:val="en-US"/>
        </w:rPr>
        <w:t>People interested in support of planning for actions to adapt regulations and remove other barriers in order to improve access to traditional food in urban environments for Indigenous people and including those interested in:</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 Treaty rights to hunt and gather</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-Urban organizations interested in serving</w:t>
      </w:r>
      <w:r w:rsidRPr="00D84EBA">
        <w:rPr>
          <w:rFonts w:ascii="Arial" w:eastAsia="Times New Roman" w:hAnsi="Arial" w:cs="Arial"/>
          <w:b/>
          <w:bCs/>
          <w:color w:val="000000"/>
          <w:sz w:val="22"/>
          <w:bdr w:val="none" w:sz="0" w:space="0" w:color="auto" w:frame="1"/>
          <w:lang w:val="en-US"/>
        </w:rPr>
        <w:t> </w:t>
      </w:r>
      <w:r w:rsidRPr="00D84EBA">
        <w:rPr>
          <w:rFonts w:ascii="Arial" w:eastAsia="Times New Roman" w:hAnsi="Arial" w:cs="Arial"/>
          <w:color w:val="000000"/>
          <w:sz w:val="22"/>
          <w:bdr w:val="none" w:sz="0" w:space="0" w:color="auto" w:frame="1"/>
          <w:lang w:val="en-US"/>
        </w:rPr>
        <w:t>Traditional foods</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 Individuals and organizations interested in portable foods, cultural celebrations &amp; ceremony, urban gardens, community kitchens, and culturally appropriate daycares, schools and hospitals. </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 Health and Wellness</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-Food safety</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-Research and policy</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-Indigenous health and cultural resurgence</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 </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For More Information Contact:</w:t>
      </w:r>
    </w:p>
    <w:p w:rsidR="00D84EB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Glenda Abbott at </w:t>
      </w:r>
      <w:hyperlink r:id="rId5" w:tgtFrame="_blank" w:history="1">
        <w:r w:rsidRPr="00D84EBA">
          <w:rPr>
            <w:rFonts w:ascii="Arial" w:eastAsia="Times New Roman" w:hAnsi="Arial" w:cs="Arial"/>
            <w:color w:val="1155CC"/>
            <w:sz w:val="22"/>
            <w:u w:val="single"/>
            <w:bdr w:val="none" w:sz="0" w:space="0" w:color="auto" w:frame="1"/>
            <w:lang w:val="en-US"/>
          </w:rPr>
          <w:t>saskpdj@gmail.com</w:t>
        </w:r>
      </w:hyperlink>
    </w:p>
    <w:p w:rsidR="001B0CAA" w:rsidRPr="00D84EBA" w:rsidRDefault="00D84EBA" w:rsidP="00D84EBA">
      <w:pPr>
        <w:spacing w:line="300" w:lineRule="atLeast"/>
        <w:rPr>
          <w:rFonts w:ascii="Arial" w:eastAsia="Times New Roman" w:hAnsi="Arial" w:cs="Arial"/>
          <w:color w:val="222222"/>
          <w:sz w:val="22"/>
        </w:rPr>
      </w:pPr>
      <w:r w:rsidRPr="00D84EBA">
        <w:rPr>
          <w:rFonts w:ascii="Arial" w:eastAsia="Times New Roman" w:hAnsi="Arial" w:cs="Arial"/>
          <w:color w:val="000000"/>
          <w:sz w:val="22"/>
          <w:bdr w:val="none" w:sz="0" w:space="0" w:color="auto" w:frame="1"/>
          <w:lang w:val="en-US"/>
        </w:rPr>
        <w:t>Rachel Engler-Stringer at </w:t>
      </w:r>
      <w:hyperlink r:id="rId6" w:tgtFrame="_blank" w:history="1">
        <w:r w:rsidRPr="00D84EBA">
          <w:rPr>
            <w:rFonts w:ascii="Arial" w:eastAsia="Times New Roman" w:hAnsi="Arial" w:cs="Arial"/>
            <w:color w:val="1155CC"/>
            <w:sz w:val="22"/>
            <w:u w:val="single"/>
            <w:bdr w:val="none" w:sz="0" w:space="0" w:color="auto" w:frame="1"/>
            <w:lang w:val="en-US"/>
          </w:rPr>
          <w:t>Rachel.engler-stringer@usask.ca</w:t>
        </w:r>
      </w:hyperlink>
      <w:bookmarkStart w:id="0" w:name="_GoBack"/>
      <w:bookmarkEnd w:id="0"/>
    </w:p>
    <w:sectPr w:rsidR="001B0CAA" w:rsidRPr="00D84EBA" w:rsidSect="001137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369BD"/>
    <w:multiLevelType w:val="multilevel"/>
    <w:tmpl w:val="7AA0B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EBA"/>
    <w:rsid w:val="001137F5"/>
    <w:rsid w:val="005321BE"/>
    <w:rsid w:val="00A01406"/>
    <w:rsid w:val="00D84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5B370"/>
  <w14:defaultImageDpi w14:val="32767"/>
  <w15:chartTrackingRefBased/>
  <w15:docId w15:val="{E2149CD4-3919-D64A-A65E-CF71259E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84EBA"/>
  </w:style>
  <w:style w:type="character" w:styleId="Hyperlink">
    <w:name w:val="Hyperlink"/>
    <w:basedOn w:val="DefaultParagraphFont"/>
    <w:uiPriority w:val="99"/>
    <w:semiHidden/>
    <w:unhideWhenUsed/>
    <w:rsid w:val="00D84E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493749">
      <w:bodyDiv w:val="1"/>
      <w:marLeft w:val="0"/>
      <w:marRight w:val="0"/>
      <w:marTop w:val="0"/>
      <w:marBottom w:val="0"/>
      <w:divBdr>
        <w:top w:val="none" w:sz="0" w:space="0" w:color="auto"/>
        <w:left w:val="none" w:sz="0" w:space="0" w:color="auto"/>
        <w:bottom w:val="none" w:sz="0" w:space="0" w:color="auto"/>
        <w:right w:val="none" w:sz="0" w:space="0" w:color="auto"/>
      </w:divBdr>
    </w:div>
    <w:div w:id="96188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engler-stringer@usask.ca" TargetMode="External"/><Relationship Id="rId5" Type="http://schemas.openxmlformats.org/officeDocument/2006/relationships/hyperlink" Target="mailto:saskpdj@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388</Words>
  <Characters>2216</Characters>
  <Application>Microsoft Office Word</Application>
  <DocSecurity>0</DocSecurity>
  <Lines>18</Lines>
  <Paragraphs>5</Paragraphs>
  <ScaleCrop>false</ScaleCrop>
  <Company/>
  <LinksUpToDate>false</LinksUpToDate>
  <CharactersWithSpaces>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McLaughlin</dc:creator>
  <cp:keywords/>
  <dc:description/>
  <cp:lastModifiedBy>Jessica McLaughlin</cp:lastModifiedBy>
  <cp:revision>1</cp:revision>
  <dcterms:created xsi:type="dcterms:W3CDTF">2019-01-15T01:48:00Z</dcterms:created>
  <dcterms:modified xsi:type="dcterms:W3CDTF">2019-01-15T01:51:00Z</dcterms:modified>
</cp:coreProperties>
</file>